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69133" w14:textId="77777777" w:rsidR="004B284A" w:rsidRDefault="004B284A" w:rsidP="004B284A">
      <w:pPr>
        <w:pStyle w:val="Ttulo"/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Normal"/>
        <w:tblpPr w:leftFromText="141" w:rightFromText="141" w:horzAnchor="margin" w:tblpXSpec="center" w:tblpY="42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3118"/>
      </w:tblGrid>
      <w:tr w:rsidR="004A693A" w14:paraId="0B58971C" w14:textId="77777777" w:rsidTr="00DA3C4D">
        <w:trPr>
          <w:trHeight w:val="566"/>
        </w:trPr>
        <w:tc>
          <w:tcPr>
            <w:tcW w:w="10420" w:type="dxa"/>
            <w:gridSpan w:val="2"/>
          </w:tcPr>
          <w:p w14:paraId="70B92F4D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BC36CCD" w14:textId="77777777" w:rsidTr="00DA3C4D">
        <w:trPr>
          <w:trHeight w:val="318"/>
        </w:trPr>
        <w:tc>
          <w:tcPr>
            <w:tcW w:w="10420" w:type="dxa"/>
            <w:gridSpan w:val="2"/>
          </w:tcPr>
          <w:p w14:paraId="60A9C3A5" w14:textId="088071B8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17"/>
                <w:w w:val="85"/>
                <w:sz w:val="24"/>
              </w:rPr>
              <w:t xml:space="preserve"> </w:t>
            </w:r>
            <w:r w:rsidR="00CD1166">
              <w:rPr>
                <w:rFonts w:ascii="Tahoma"/>
                <w:b/>
                <w:w w:val="85"/>
                <w:sz w:val="24"/>
              </w:rPr>
              <w:t>ENFERMEIRO (A)</w:t>
            </w:r>
            <w:r>
              <w:rPr>
                <w:rFonts w:ascii="Tahoma"/>
                <w:b/>
                <w:w w:val="85"/>
                <w:sz w:val="24"/>
              </w:rPr>
              <w:t xml:space="preserve"> </w:t>
            </w:r>
          </w:p>
        </w:tc>
      </w:tr>
      <w:tr w:rsidR="004A693A" w14:paraId="5851E6DA" w14:textId="77777777" w:rsidTr="00DA3C4D">
        <w:trPr>
          <w:trHeight w:val="498"/>
        </w:trPr>
        <w:tc>
          <w:tcPr>
            <w:tcW w:w="7302" w:type="dxa"/>
          </w:tcPr>
          <w:p w14:paraId="4331E8D6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DATA:</w:t>
            </w:r>
            <w:r>
              <w:rPr>
                <w:rFonts w:ascii="Tahoma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Tahoma"/>
                <w:b/>
                <w:w w:val="80"/>
                <w:sz w:val="24"/>
              </w:rPr>
              <w:t>22/12/2024</w:t>
            </w:r>
          </w:p>
        </w:tc>
        <w:tc>
          <w:tcPr>
            <w:tcW w:w="3118" w:type="dxa"/>
          </w:tcPr>
          <w:p w14:paraId="6CBE3707" w14:textId="77777777" w:rsidR="004A693A" w:rsidRDefault="004A693A" w:rsidP="00DA3C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93A" w14:paraId="54641151" w14:textId="77777777" w:rsidTr="00DA3C4D">
        <w:trPr>
          <w:trHeight w:val="498"/>
        </w:trPr>
        <w:tc>
          <w:tcPr>
            <w:tcW w:w="7302" w:type="dxa"/>
          </w:tcPr>
          <w:p w14:paraId="591214D5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  <w:tc>
          <w:tcPr>
            <w:tcW w:w="3118" w:type="dxa"/>
          </w:tcPr>
          <w:p w14:paraId="25B60ED7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CPF:</w:t>
            </w:r>
          </w:p>
        </w:tc>
      </w:tr>
      <w:tr w:rsidR="004A693A" w14:paraId="39B3A8AC" w14:textId="77777777" w:rsidTr="00DA3C4D">
        <w:trPr>
          <w:trHeight w:val="3398"/>
        </w:trPr>
        <w:tc>
          <w:tcPr>
            <w:tcW w:w="10420" w:type="dxa"/>
            <w:gridSpan w:val="2"/>
          </w:tcPr>
          <w:p w14:paraId="1DF927A5" w14:textId="77777777" w:rsidR="004A693A" w:rsidRDefault="004A693A" w:rsidP="00DA3C4D">
            <w:pPr>
              <w:pStyle w:val="TableParagraph"/>
              <w:ind w:left="4566" w:right="4560"/>
              <w:jc w:val="center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  <w:u w:val="single"/>
              </w:rPr>
              <w:t>Instruções:</w:t>
            </w:r>
          </w:p>
          <w:p w14:paraId="7A72A8E6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19"/>
              <w:ind w:left="321" w:hanging="253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consulta;</w:t>
            </w:r>
          </w:p>
          <w:p w14:paraId="1BC67618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/>
              <w:ind w:right="208" w:firstLine="0"/>
              <w:rPr>
                <w:sz w:val="18"/>
              </w:rPr>
            </w:pPr>
            <w:r>
              <w:rPr>
                <w:sz w:val="18"/>
              </w:rPr>
              <w:t>Verifique se este caderno de questões é composto de 20 questões objetivas de múltipla escolha com 4 alternativas; se 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estiver incompleto ou apresentar qualquer outro defeito, solicite ao fiscal que tome as providências cabíveis. Em cada questão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apenas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 opção correta.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uma letra 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</w:t>
            </w:r>
          </w:p>
          <w:p w14:paraId="27AD37FC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Deverá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 um prazo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(trinta)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 (cento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oitenta)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minutos;</w:t>
            </w:r>
          </w:p>
          <w:p w14:paraId="3B497A0A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inseridas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gabarito</w:t>
            </w:r>
            <w:r>
              <w:rPr>
                <w:sz w:val="18"/>
              </w:rPr>
              <w:t>;</w:t>
            </w:r>
          </w:p>
          <w:p w14:paraId="0CDBB404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lápis;</w:t>
            </w:r>
          </w:p>
          <w:p w14:paraId="6395C3E2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Gabarito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preenchido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preta);</w:t>
            </w:r>
          </w:p>
          <w:p w14:paraId="0388AB6B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gabarito,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substituído.</w:t>
            </w:r>
          </w:p>
          <w:p w14:paraId="2D24D415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before="2"/>
              <w:ind w:left="371" w:hanging="303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Anulação: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branco,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rabisco,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mancha,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assinalada.</w:t>
            </w:r>
          </w:p>
          <w:p w14:paraId="78E8E38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  <w:p w14:paraId="196E5B5C" w14:textId="77777777" w:rsidR="004A693A" w:rsidRDefault="004A693A" w:rsidP="00DA3C4D">
            <w:pPr>
              <w:pStyle w:val="TableParagraph"/>
              <w:spacing w:before="159" w:line="210" w:lineRule="atLeast"/>
              <w:ind w:left="69"/>
              <w:rPr>
                <w:sz w:val="18"/>
              </w:rPr>
            </w:pP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cuidadosamente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você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GABARITO.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preenchido,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prova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entregue-o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fiscal.</w:t>
            </w:r>
          </w:p>
        </w:tc>
      </w:tr>
    </w:tbl>
    <w:p w14:paraId="764A704F" w14:textId="2732EF0E" w:rsidR="00CE2B4E" w:rsidRDefault="00CE2B4E" w:rsidP="00CE2B4E"/>
    <w:p w14:paraId="4D47F6AC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1 Sobre Diabetes Mellitus (DM), analise as afirmativas abaixo e dê valores Verdadeiro (V) </w:t>
      </w:r>
      <w:proofErr w:type="gramStart"/>
      <w:r w:rsidRPr="00CD1166">
        <w:rPr>
          <w:rFonts w:ascii="Times New Roman" w:hAnsi="Times New Roman" w:cs="Times New Roman"/>
          <w:sz w:val="24"/>
          <w:szCs w:val="24"/>
        </w:rPr>
        <w:t>ou Falso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(F). </w:t>
      </w:r>
    </w:p>
    <w:p w14:paraId="5CCF04B1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A apresentação do diabetes tipo 1 é, em geral, abrupta, acometendo principalmente crianças e adolescentes sem excesso de peso. </w:t>
      </w:r>
    </w:p>
    <w:p w14:paraId="0CF3DCD6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Na maioria dos casos, no diabetes tipo 1, a hiperglicemia é acentuada, evoluindo rapidamente para cetoacidose, especialmente na presença de infecção ou outra forma de estresse. </w:t>
      </w:r>
    </w:p>
    <w:p w14:paraId="026BABC1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O DM tipo 2 costuma ter início insidioso e sintomas mais brandos. Manifesta-se, em geral, em adultos com longa história de excesso de peso e com história familiar de DM tipo 2.</w:t>
      </w:r>
    </w:p>
    <w:p w14:paraId="77A8AC74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O traço clínico que mais define o tipo 2 é a tendência à hiperglicemia grave e cetoacidose. Estão corretas as afirmativas: </w:t>
      </w:r>
    </w:p>
    <w:p w14:paraId="1CECD7D4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V - V - V - V. </w:t>
      </w:r>
    </w:p>
    <w:p w14:paraId="4520A9F8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F - V - F - V. </w:t>
      </w:r>
    </w:p>
    <w:p w14:paraId="112573A7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V - F - V - F. </w:t>
      </w:r>
    </w:p>
    <w:p w14:paraId="64D27800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d) V - V - V - F. </w:t>
      </w:r>
    </w:p>
    <w:p w14:paraId="6E80CD43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lastRenderedPageBreak/>
        <w:t xml:space="preserve">2 Na consulta de enfermagem para prevenção primária da hipertensão arterial sistêmica (HAS), o foco do processo educativo será para orientação daquelas medidas que comprovadamente reduzem a pressão arterial. Sobre esse assunto, analise as afirmativas abaixo. </w:t>
      </w:r>
    </w:p>
    <w:p w14:paraId="5E4F70A9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 - Hábitos alimentares adequados para manutenção do peso corporal e um perfil lipídico desejável. </w:t>
      </w:r>
    </w:p>
    <w:p w14:paraId="28A1DDD6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II - Alimentação rica em frutas, vegetais, gordura total e saturada. </w:t>
      </w:r>
    </w:p>
    <w:p w14:paraId="64C8176F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III - Estímulo aos exercícios físicos, realizando atividade anaeróbica, por 15 minutos pelo menos, 3 vezes por semana. </w:t>
      </w:r>
    </w:p>
    <w:p w14:paraId="6B37DC1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IV - Redução da ingestão de sódio e do consumo de bebidas alcoólicas. Estão corretas as afirmativas: </w:t>
      </w:r>
    </w:p>
    <w:p w14:paraId="5903EF65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I, II e IV, apenas. </w:t>
      </w:r>
    </w:p>
    <w:p w14:paraId="0703CBA3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II, III e IV, apenas. </w:t>
      </w:r>
    </w:p>
    <w:p w14:paraId="37A7ECCE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I e IV, apenas. </w:t>
      </w:r>
    </w:p>
    <w:p w14:paraId="09F55EC8" w14:textId="429742FC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d) I, III e IV, apenas. </w:t>
      </w:r>
    </w:p>
    <w:p w14:paraId="2541C4A6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3 Sobre os métodos de mensuração do grau de dor, analise as afirmativas abaixo e dê valores Verdadeiro (V) </w:t>
      </w:r>
      <w:proofErr w:type="gramStart"/>
      <w:r w:rsidRPr="00CD1166">
        <w:rPr>
          <w:rFonts w:ascii="Times New Roman" w:hAnsi="Times New Roman" w:cs="Times New Roman"/>
          <w:sz w:val="24"/>
          <w:szCs w:val="24"/>
        </w:rPr>
        <w:t>ou Falso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(F). </w:t>
      </w:r>
    </w:p>
    <w:p w14:paraId="6721CB4D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Os instrumentos unidimensionais quantificam apenas a gravidade ou a intensidade da dor para obter informações rápidas, não invasivas e válidas sobre a dor e a analgesia. São simples e de fácil aplicação. </w:t>
      </w:r>
    </w:p>
    <w:p w14:paraId="16812F41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Algumas escalas unidimensionais incluem indicadores fisiológicos, comportamentais, contextuais e, também, os autor registros por parte do paciente. </w:t>
      </w:r>
    </w:p>
    <w:p w14:paraId="74FE81C3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Os instrumentos multidimensionais avaliam e mensuram as diferentes dimensões da dor, como a sensorial, a afetiva e a avaliativa. Estão corretas as afirmativas: </w:t>
      </w:r>
    </w:p>
    <w:p w14:paraId="62C51C09" w14:textId="11D3A000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F - F - V.           </w:t>
      </w:r>
    </w:p>
    <w:p w14:paraId="3ED16B66" w14:textId="3FF19EA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V - V - V.          </w:t>
      </w:r>
    </w:p>
    <w:p w14:paraId="714B5650" w14:textId="77777777" w:rsid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>c) F - V - F.</w:t>
      </w:r>
    </w:p>
    <w:p w14:paraId="0311F1A3" w14:textId="723B2994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lastRenderedPageBreak/>
        <w:t xml:space="preserve">d) V - F - V </w:t>
      </w:r>
    </w:p>
    <w:p w14:paraId="626FBBED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4 Assinale a alternativa que apresenta um exemplo de material crítico. </w:t>
      </w:r>
    </w:p>
    <w:p w14:paraId="73895866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Cabo de laringoscópio. </w:t>
      </w:r>
    </w:p>
    <w:p w14:paraId="77114813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Termômetro. </w:t>
      </w:r>
    </w:p>
    <w:p w14:paraId="6D06E707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Instrumental cirúrgico. </w:t>
      </w:r>
    </w:p>
    <w:p w14:paraId="3CD9E790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d) Esfigmomanômetro coberto por brim. </w:t>
      </w:r>
    </w:p>
    <w:p w14:paraId="0FFA9C54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5 O enfermeiro necessita preparar a prescrição médica de 2000ml de solução de diálise à 2,5%. A unidade de saúde tem disponível solução de diálise à 1,5% de 2000ml e ampolas de glicose à 50% de 10ml. Para o preparo da prescrição médica, o enfermeiro precisará de _________ ampola(s) de glicose. Assinale a alternativa que preencha corretamente a lacuna. </w:t>
      </w:r>
    </w:p>
    <w:p w14:paraId="1C4C086D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½. </w:t>
      </w:r>
    </w:p>
    <w:p w14:paraId="2BEC0322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1. </w:t>
      </w:r>
    </w:p>
    <w:p w14:paraId="1840F869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2. </w:t>
      </w:r>
    </w:p>
    <w:p w14:paraId="5E75B166" w14:textId="62B70FF8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d) 4. </w:t>
      </w:r>
    </w:p>
    <w:p w14:paraId="64238000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6 Sobre o transtorno de pânico, analise as afirmativas abaixo. </w:t>
      </w:r>
    </w:p>
    <w:p w14:paraId="40F27A0F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 - É caracterizado pela ocorrência espontânea e inesperada de ataques de pânico. </w:t>
      </w:r>
    </w:p>
    <w:p w14:paraId="3141672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II - Os ataques têm duração longa de 1 hora, com ansiedade intensa, </w:t>
      </w:r>
      <w:proofErr w:type="spellStart"/>
      <w:r w:rsidRPr="00CD1166">
        <w:rPr>
          <w:rFonts w:ascii="Times New Roman" w:hAnsi="Times New Roman" w:cs="Times New Roman"/>
          <w:sz w:val="24"/>
          <w:szCs w:val="24"/>
        </w:rPr>
        <w:t>bradipnéia</w:t>
      </w:r>
      <w:proofErr w:type="spellEnd"/>
      <w:r w:rsidRPr="00CD1166">
        <w:rPr>
          <w:rFonts w:ascii="Times New Roman" w:hAnsi="Times New Roman" w:cs="Times New Roman"/>
          <w:sz w:val="24"/>
          <w:szCs w:val="24"/>
        </w:rPr>
        <w:t xml:space="preserve">, palpitações, sudorese, tremores, náuseas e calafrios. </w:t>
      </w:r>
    </w:p>
    <w:p w14:paraId="351FAEA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III - Uma das grandes ameaças sentidas pelas pessoas em crise de pânico é a dor torácica, levando ao medo de uma parada cardíaca, preocupação esta que não deve ser desconsiderada pela equipe de saúde. </w:t>
      </w:r>
    </w:p>
    <w:p w14:paraId="1B7CABFE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IV - Os ataques de pânico estão entre os diagnósticos mais frequentes de emergências psiquiátricas. Estão corretas as afirmativas. </w:t>
      </w:r>
    </w:p>
    <w:p w14:paraId="18DEE8E5" w14:textId="75973C9B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I, II e III, apenas.     </w:t>
      </w:r>
    </w:p>
    <w:p w14:paraId="3A9966D1" w14:textId="23EC8B04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II e IV, apenas.        </w:t>
      </w:r>
    </w:p>
    <w:p w14:paraId="2A0A40A9" w14:textId="77777777" w:rsid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I e II, apenas. </w:t>
      </w:r>
    </w:p>
    <w:p w14:paraId="171D9F45" w14:textId="6673DED9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lastRenderedPageBreak/>
        <w:t>d) I, III e IV, apenas.</w:t>
      </w:r>
    </w:p>
    <w:p w14:paraId="665F59FA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7 Sobre as complicações da gestação gemelar, analise as afirmativas abaixo. </w:t>
      </w:r>
    </w:p>
    <w:p w14:paraId="730BA9B4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 - A mortalidade infantil em gêmeos é 5 vezes menor do que em gestações únicas. </w:t>
      </w:r>
    </w:p>
    <w:p w14:paraId="217A4F16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II - Com a morte de um feto em idade gestacional mais avançada, há maiores riscos de coagulação intravascular disseminada, retardo de crescimento intrauterino e paralisia cerebral do feto sobrevivente. </w:t>
      </w:r>
    </w:p>
    <w:p w14:paraId="6C38B9A9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III - O aumento da mortalidade perinatal decorre principalmente da prematuridade, sendo cerca de 6 vezes maior do que nas gestações únicas. </w:t>
      </w:r>
    </w:p>
    <w:p w14:paraId="57376AD9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IV - Nos </w:t>
      </w:r>
      <w:proofErr w:type="spellStart"/>
      <w:r w:rsidRPr="00CD1166">
        <w:rPr>
          <w:rFonts w:ascii="Times New Roman" w:hAnsi="Times New Roman" w:cs="Times New Roman"/>
          <w:sz w:val="24"/>
          <w:szCs w:val="24"/>
        </w:rPr>
        <w:t>monocoriônicos</w:t>
      </w:r>
      <w:proofErr w:type="spellEnd"/>
      <w:r w:rsidRPr="00CD1166">
        <w:rPr>
          <w:rFonts w:ascii="Times New Roman" w:hAnsi="Times New Roman" w:cs="Times New Roman"/>
          <w:sz w:val="24"/>
          <w:szCs w:val="24"/>
        </w:rPr>
        <w:t xml:space="preserve"> há uma complicação adicional, que é a síndrome da transfusão feto fetal e feto </w:t>
      </w:r>
      <w:proofErr w:type="spellStart"/>
      <w:r w:rsidRPr="00CD1166">
        <w:rPr>
          <w:rFonts w:ascii="Times New Roman" w:hAnsi="Times New Roman" w:cs="Times New Roman"/>
          <w:sz w:val="24"/>
          <w:szCs w:val="24"/>
        </w:rPr>
        <w:t>acárdico</w:t>
      </w:r>
      <w:proofErr w:type="spellEnd"/>
      <w:r w:rsidRPr="00CD1166">
        <w:rPr>
          <w:rFonts w:ascii="Times New Roman" w:hAnsi="Times New Roman" w:cs="Times New Roman"/>
          <w:sz w:val="24"/>
          <w:szCs w:val="24"/>
        </w:rPr>
        <w:t xml:space="preserve">. Assim, a mortalidade em </w:t>
      </w:r>
      <w:proofErr w:type="spellStart"/>
      <w:r w:rsidRPr="00CD1166">
        <w:rPr>
          <w:rFonts w:ascii="Times New Roman" w:hAnsi="Times New Roman" w:cs="Times New Roman"/>
          <w:sz w:val="24"/>
          <w:szCs w:val="24"/>
        </w:rPr>
        <w:t>monocoriônicos</w:t>
      </w:r>
      <w:proofErr w:type="spellEnd"/>
      <w:r w:rsidRPr="00CD1166">
        <w:rPr>
          <w:rFonts w:ascii="Times New Roman" w:hAnsi="Times New Roman" w:cs="Times New Roman"/>
          <w:sz w:val="24"/>
          <w:szCs w:val="24"/>
        </w:rPr>
        <w:t xml:space="preserve">, independentemente da </w:t>
      </w:r>
      <w:proofErr w:type="spellStart"/>
      <w:r w:rsidRPr="00CD1166">
        <w:rPr>
          <w:rFonts w:ascii="Times New Roman" w:hAnsi="Times New Roman" w:cs="Times New Roman"/>
          <w:sz w:val="24"/>
          <w:szCs w:val="24"/>
        </w:rPr>
        <w:t>zigosidade</w:t>
      </w:r>
      <w:proofErr w:type="spellEnd"/>
      <w:r w:rsidRPr="00CD1166">
        <w:rPr>
          <w:rFonts w:ascii="Times New Roman" w:hAnsi="Times New Roman" w:cs="Times New Roman"/>
          <w:sz w:val="24"/>
          <w:szCs w:val="24"/>
        </w:rPr>
        <w:t xml:space="preserve">, é 3 a 4 vezes maior. </w:t>
      </w:r>
    </w:p>
    <w:p w14:paraId="040AFAC0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V - Malformações fetais são 2 vezes menos frequentes em relação às gestações únicas e ainda menores nas </w:t>
      </w:r>
      <w:proofErr w:type="spellStart"/>
      <w:r w:rsidRPr="00CD1166">
        <w:rPr>
          <w:rFonts w:ascii="Times New Roman" w:hAnsi="Times New Roman" w:cs="Times New Roman"/>
          <w:sz w:val="24"/>
          <w:szCs w:val="24"/>
        </w:rPr>
        <w:t>monocoriônicas</w:t>
      </w:r>
      <w:proofErr w:type="spellEnd"/>
      <w:r w:rsidRPr="00CD11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424B27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Estão corretas as afirmativas: </w:t>
      </w:r>
    </w:p>
    <w:p w14:paraId="6E49E1DE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II, IV e V, apenas. </w:t>
      </w:r>
    </w:p>
    <w:p w14:paraId="236B0586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II, III e IV, apenas. </w:t>
      </w:r>
    </w:p>
    <w:p w14:paraId="5BBFB387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I, II, III e IV, apenas. </w:t>
      </w:r>
    </w:p>
    <w:p w14:paraId="7E073F79" w14:textId="0639214C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d) II e III, apenas. </w:t>
      </w:r>
    </w:p>
    <w:p w14:paraId="771AF7A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8 O abortamento é considerado precoce quando ocorre até a ______ semana de gestação. Assinale a alternativa que preencha corretamente a lacuna. </w:t>
      </w:r>
    </w:p>
    <w:p w14:paraId="609C5EE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4ª. </w:t>
      </w:r>
    </w:p>
    <w:p w14:paraId="69F24AB0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22ª. </w:t>
      </w:r>
    </w:p>
    <w:p w14:paraId="0F2842A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12ª. </w:t>
      </w:r>
    </w:p>
    <w:p w14:paraId="16924FD9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>d) 8ª.</w:t>
      </w:r>
    </w:p>
    <w:p w14:paraId="36723628" w14:textId="77777777" w:rsid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43B214" w14:textId="77777777" w:rsid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4D7B9" w14:textId="61136E7F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lastRenderedPageBreak/>
        <w:t xml:space="preserve">9 Sobre a depressão pós-parto, analise as afirmativas abaixo e dê valores Verdadeiro (V) </w:t>
      </w:r>
      <w:proofErr w:type="gramStart"/>
      <w:r w:rsidRPr="00CD1166">
        <w:rPr>
          <w:rFonts w:ascii="Times New Roman" w:hAnsi="Times New Roman" w:cs="Times New Roman"/>
          <w:sz w:val="24"/>
          <w:szCs w:val="24"/>
        </w:rPr>
        <w:t>ou Falso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(F). </w:t>
      </w:r>
    </w:p>
    <w:p w14:paraId="17B4ADAD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A disforia puerperal é um quadro que se inicia 15 dias antes do parto e que apresenta remissão espontânea. </w:t>
      </w:r>
    </w:p>
    <w:p w14:paraId="097774AE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Os fatores de risco para a disforia puerperal são primiparidade, eventos estressantes e/ou conflitos com o cônjuge, antecedentes familiares de depressão e pouca idade. </w:t>
      </w:r>
    </w:p>
    <w:p w14:paraId="46C3FED8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A etiologia da depressão pós-parto é influenciada apenas por aspectos sociais. Assinale a alternativa que apresenta a sequência correta de cima para baixo. </w:t>
      </w:r>
    </w:p>
    <w:p w14:paraId="681470D2" w14:textId="423449BB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V - V - V.         </w:t>
      </w:r>
    </w:p>
    <w:p w14:paraId="733905A6" w14:textId="5872AC24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F - F - V.         </w:t>
      </w:r>
    </w:p>
    <w:p w14:paraId="6D9A9794" w14:textId="77777777" w:rsid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>c) V - F - F.</w:t>
      </w:r>
    </w:p>
    <w:p w14:paraId="14A881C5" w14:textId="1F872614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>d) F - V - F.</w:t>
      </w:r>
    </w:p>
    <w:p w14:paraId="5EB606B8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10 Sobre o diagnóstico laboratorial do Sarampo, analise as afirmativas abaixo e dê valores Verdadeiro (V) </w:t>
      </w:r>
      <w:proofErr w:type="gramStart"/>
      <w:r w:rsidRPr="00CD1166">
        <w:rPr>
          <w:rFonts w:ascii="Times New Roman" w:hAnsi="Times New Roman" w:cs="Times New Roman"/>
          <w:sz w:val="24"/>
          <w:szCs w:val="24"/>
        </w:rPr>
        <w:t>ou Falso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(F). </w:t>
      </w:r>
    </w:p>
    <w:p w14:paraId="082CA7B9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O laboratório tem três funções principais na vigilância do sarampo: monitorar a circulação do vírus por meio da confirmação de casos, confirmação de surtos e identificação das variantes genéticas. </w:t>
      </w:r>
    </w:p>
    <w:p w14:paraId="342B26BF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A detecção de anticorpos </w:t>
      </w:r>
      <w:proofErr w:type="spellStart"/>
      <w:r w:rsidRPr="00CD1166">
        <w:rPr>
          <w:rFonts w:ascii="Times New Roman" w:hAnsi="Times New Roman" w:cs="Times New Roman"/>
          <w:sz w:val="24"/>
          <w:szCs w:val="24"/>
        </w:rPr>
        <w:t>IgM</w:t>
      </w:r>
      <w:proofErr w:type="spellEnd"/>
      <w:r w:rsidRPr="00CD1166">
        <w:rPr>
          <w:rFonts w:ascii="Times New Roman" w:hAnsi="Times New Roman" w:cs="Times New Roman"/>
          <w:sz w:val="24"/>
          <w:szCs w:val="24"/>
        </w:rPr>
        <w:t xml:space="preserve"> ocorre na fase aguda da doença, desde os primeiros dias até 30 dias após o aparecimento do exantema, exceto se o suspeito tiver recebido vacina oito dias a seis semanas antes da coleta da amostra e não houver evidência de transmissão do sarampo na comunidade e nenhum histórico de viagens. </w:t>
      </w:r>
    </w:p>
    <w:p w14:paraId="767A2C40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166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Todo material deverá ser encaminhado ao laboratório central o mais brevemente possível pela equipe de vigilância epidemiológica local, acompanhado de cópia da Ficha de Notificação/Investigação de Doenças Exantemáticas Febris Sarampo/Rubéola devidamente preenchida, a qual servirá de orientação para a realização dos exames indicados. </w:t>
      </w:r>
    </w:p>
    <w:p w14:paraId="48007C4D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Assinale a alternativa que apresenta a sequência correta de cima para baixo. </w:t>
      </w:r>
    </w:p>
    <w:p w14:paraId="55AD62EC" w14:textId="10CFC3A6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F - V - V.            </w:t>
      </w:r>
    </w:p>
    <w:p w14:paraId="77B8E67A" w14:textId="1ECC99FF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lastRenderedPageBreak/>
        <w:t xml:space="preserve">b) V - F - V.            </w:t>
      </w:r>
    </w:p>
    <w:p w14:paraId="0B6EC1FF" w14:textId="77777777" w:rsid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>c) V - F - F.</w:t>
      </w:r>
    </w:p>
    <w:p w14:paraId="1CFFA03F" w14:textId="15B358BF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>d) V - V - V.</w:t>
      </w:r>
    </w:p>
    <w:p w14:paraId="331507DD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11 Atualmente, é sabido que a qualidade do atendimento em enfermagem, incluindo os procedimentos técnicos, é fundamental para o manejo e a recuperação do paciente. Assinale a alternativa correta. </w:t>
      </w:r>
    </w:p>
    <w:p w14:paraId="48DB73EA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A Frequência Respiratória (FR) é avaliada através da observação dos ciclos respiratórios em um minuto, sendo analisadas a sequência, a forma e a amplitude das incursões respiratórias, considera-se normal a FR de 12 a 20 em adultos e 36 a 40 em pré-escolares. </w:t>
      </w:r>
    </w:p>
    <w:p w14:paraId="25FAAE8D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Durante a reanimação cardiopulmonar no suporte básico de vida deve-se comprimir o tórax do adulto, num ângulo de 90 graus, por no mínimo 120 vezes por minuto, permitindo o retorno total do tórax entre as compressões. </w:t>
      </w:r>
    </w:p>
    <w:p w14:paraId="1D072932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A administração de medicamentos por via subcutânea é realizada através da aplicação de medicamentos sob a pele, introduzindo a agulha com o bisel para cima num ângulo de 45 graus, sua absorção é rápida e uniforme. </w:t>
      </w:r>
    </w:p>
    <w:p w14:paraId="36C43210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d) O enfermeiro capacitado pode realizar o desbridamento instrumental da ferida aberta até a fáscia muscular, avaliando a presença de dor e intervindo caso haja necessidade. </w:t>
      </w:r>
    </w:p>
    <w:p w14:paraId="5B88CB9F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12 As intoxicações exógenas representam de 5% a 10% de todos os atendimentos em serviços de emergência e das internações em unidades de terapia intensiva. São consequências clínicas ou bioquímicas da exposição aguda a substâncias químicas encontradas no ambiente ou isoladas. Acerca do tema, assinale a alternativa correta. </w:t>
      </w:r>
    </w:p>
    <w:p w14:paraId="29F87704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Nas intoxicações por opioides os sinais e sintomas manifestados incluem estado mental alterado, bradipneia, hipotensão arterial, pupilas puntiformes, hipotermia, o antídoto recomendado é a </w:t>
      </w:r>
      <w:proofErr w:type="spellStart"/>
      <w:r w:rsidRPr="00CD1166">
        <w:rPr>
          <w:rFonts w:ascii="Times New Roman" w:hAnsi="Times New Roman" w:cs="Times New Roman"/>
          <w:sz w:val="24"/>
          <w:szCs w:val="24"/>
        </w:rPr>
        <w:t>fisostigmina</w:t>
      </w:r>
      <w:proofErr w:type="spellEnd"/>
      <w:r w:rsidRPr="00CD11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FAAFA4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O paciente intoxicado por anfetaminas geralmente apresenta estado mental alterado, midríase, confusão, agitação, tremores, taquipneia, sudorese, taquicardia, febre e convulsões. </w:t>
      </w:r>
    </w:p>
    <w:p w14:paraId="1B310298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lastRenderedPageBreak/>
        <w:t xml:space="preserve">c) O paciente etilizado deve ser contido com restrição mecânica, o enfermeiro deve observar a presença de nistagmo, miose, agitação, confusão, hipertensão e taquicardia, sendo o </w:t>
      </w:r>
      <w:proofErr w:type="spellStart"/>
      <w:r w:rsidRPr="00CD1166">
        <w:rPr>
          <w:rFonts w:ascii="Times New Roman" w:hAnsi="Times New Roman" w:cs="Times New Roman"/>
          <w:sz w:val="24"/>
          <w:szCs w:val="24"/>
        </w:rPr>
        <w:t>flumazenil</w:t>
      </w:r>
      <w:proofErr w:type="spellEnd"/>
      <w:r w:rsidRPr="00CD1166">
        <w:rPr>
          <w:rFonts w:ascii="Times New Roman" w:hAnsi="Times New Roman" w:cs="Times New Roman"/>
          <w:sz w:val="24"/>
          <w:szCs w:val="24"/>
        </w:rPr>
        <w:t xml:space="preserve"> o antídoto escolhido. </w:t>
      </w:r>
    </w:p>
    <w:p w14:paraId="3CEF57DB" w14:textId="47EAF6DC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>d) A lavagem gástrica é recomendada para os pacientes sob intoxicação exógena por derivados do petróleo e substâncias corrosivas nas primeiras duas horas.</w:t>
      </w:r>
    </w:p>
    <w:p w14:paraId="450A3AB5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>13 As infecções hospitalares são responsáveis pelo acometimento de muitos pacientes e interfere diretamente na condição de saúde dos mesmos, tempo e custo da internação hospitalar. O comprometimento dos profissionais na adesão ao uso dos equipamentos de proteção necessários resulta em controle da transmissão de micro-organismos. Com base nisso, analise as afirmativas abaixo.</w:t>
      </w:r>
    </w:p>
    <w:p w14:paraId="347B1CE7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 I - Os hospitais possuem uma Comissão de Controle de Infecção Hospitalar (CCIH), que é o órgão responsável por prevenir e controlar a transmissão de infecções no ambiente hospitalar. </w:t>
      </w:r>
    </w:p>
    <w:p w14:paraId="72109A03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II - Boas práticas de higiene como a lavagem das mãos de forma adequada e o uso apropriado de dispositivos hospitalares (curativos, seringas, agulhas) faz com que as taxas de infecção possam ser reduzidas de forma significativa. </w:t>
      </w:r>
    </w:p>
    <w:p w14:paraId="01F16BF7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III - Quando a doença é transmitida através do contato o profissional de saúde deve utilizar avental e luvas descartáveis para tocar no paciente ou em objetos que pertençam a ele, além da utilização da precaução padrão. </w:t>
      </w:r>
    </w:p>
    <w:p w14:paraId="25C79469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IV - Quando o contágio for por via respiratória, por meio de gotículas, minúsculas partículas que permanecem suspensas no ar, como tosse, espirro ou fala deve-se, adotar o uso de uma máscara simples. </w:t>
      </w:r>
    </w:p>
    <w:p w14:paraId="74954407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Assinale a alternativa correta. </w:t>
      </w:r>
    </w:p>
    <w:p w14:paraId="1D5FC71E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Apenas as afirmativas II, III e IV estão corretas. </w:t>
      </w:r>
    </w:p>
    <w:p w14:paraId="7E668610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Apenas as afirmativas I, II e IV estão corretas. </w:t>
      </w:r>
    </w:p>
    <w:p w14:paraId="3E320E8C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Apenas as afirmativas I, II e III estão corretas. </w:t>
      </w:r>
    </w:p>
    <w:p w14:paraId="2164D8B8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d) Apenas as afirmativas III e IV estão corretas. </w:t>
      </w:r>
    </w:p>
    <w:p w14:paraId="34DAC5BD" w14:textId="1C0D37B5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E0B4A8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lastRenderedPageBreak/>
        <w:t xml:space="preserve">14 Precauções são medidas adotadas a fim de evitar a propagação de doenças transmissíveis, evitando assim, a transmissão de microrganismos dos pacientes infectados para outros pacientes, visitantes ou mesmo para os profissionais de saúde. Relacione os tipos de infecções com os respectivos tipos de precauções. </w:t>
      </w:r>
    </w:p>
    <w:p w14:paraId="127F786F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 - Varicela </w:t>
      </w:r>
    </w:p>
    <w:p w14:paraId="3F3C0747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II - Enterocolite Necrotizante </w:t>
      </w:r>
    </w:p>
    <w:p w14:paraId="7CEFF72C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>III – Impetigo</w:t>
      </w:r>
    </w:p>
    <w:p w14:paraId="1CEA3EA9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 IV - Rubéola </w:t>
      </w:r>
    </w:p>
    <w:p w14:paraId="61728D9E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 - Padrão </w:t>
      </w:r>
    </w:p>
    <w:p w14:paraId="02AFD765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 - Contato + Aerossóis </w:t>
      </w:r>
    </w:p>
    <w:p w14:paraId="2EE6EDDF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 - Gotículas </w:t>
      </w:r>
    </w:p>
    <w:p w14:paraId="7B2F8A72" w14:textId="421ECFCE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 - Contato </w:t>
      </w:r>
    </w:p>
    <w:p w14:paraId="69DF38D0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Assinale a alternativa que apresenta a correlação correta. </w:t>
      </w:r>
    </w:p>
    <w:p w14:paraId="33937814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I-A, II-B, III-C, IV-D. </w:t>
      </w:r>
    </w:p>
    <w:p w14:paraId="3B725C0D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I-B, II-A, III-D, IV-C. </w:t>
      </w:r>
    </w:p>
    <w:p w14:paraId="2D422ED3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I-C, II-D, III-A, IV-B. </w:t>
      </w:r>
    </w:p>
    <w:p w14:paraId="5F0B0ECC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d) I-B, II-C, III-D, IV-A. </w:t>
      </w:r>
    </w:p>
    <w:p w14:paraId="26981C0E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15 O rápido crescimento da população idosa, em poucos anos irá mudar completamente o atual quadro demográfico, trazendo efeitos significativos em todos os níveis da sociedade, principalmente na saúde pública e consequentemente para os profissionais da saúde. Analise as afirmativas abaixo. </w:t>
      </w:r>
    </w:p>
    <w:p w14:paraId="34790E4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 - As quedas constituem importante agravo à saúde do idoso e estão associadas a elevados índices de morbimortalidade. Algumas causas mais comuns das quedas são fatores ambientais; diminuição da acuidade visual; distúrbios de equilíbrio e marcha. É função do enfermeiro identificar os fatores de risco na consulta de enfermagem. </w:t>
      </w:r>
    </w:p>
    <w:p w14:paraId="2326187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II - A demência caracteriza-se pelo prejuízo de um nível intelectual prévio. A causa mais comum de demência é a Doença de Alzheimer, responsável por 50-60% de todos os casos, </w:t>
      </w:r>
      <w:r w:rsidRPr="00CD1166">
        <w:rPr>
          <w:rFonts w:ascii="Times New Roman" w:hAnsi="Times New Roman" w:cs="Times New Roman"/>
          <w:sz w:val="24"/>
          <w:szCs w:val="24"/>
        </w:rPr>
        <w:lastRenderedPageBreak/>
        <w:t xml:space="preserve">e sua prevalência aumenta após os 60 anos de idade. Após o enfermeiro identificar o agravo é necessário o encaminhamento para uma avaliação especializada. </w:t>
      </w:r>
    </w:p>
    <w:p w14:paraId="0785FA3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III - A sexualidade faz parte de todas as etapas da vida, e sua expressão saudável é fundamental para a felicidade do ser humano. Durante a consulta de enfermagem o enfermeiro pode identificar o surgimento de algum problema que possa interferir na sexualidade da pessoa idosa, por exemplo, a polifarmácia, transtornos físicos e psicológicos. </w:t>
      </w:r>
    </w:p>
    <w:p w14:paraId="39DD7137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Assinale a alternativa correta. </w:t>
      </w:r>
    </w:p>
    <w:p w14:paraId="7F4D2544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Apenas as afirmativas I e II estão corretas. </w:t>
      </w:r>
    </w:p>
    <w:p w14:paraId="4D9B9D2F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Apenas a afirmativa I está correta. </w:t>
      </w:r>
    </w:p>
    <w:p w14:paraId="65E9FB19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Apenas as afirmativas II e III estão corretas. </w:t>
      </w:r>
    </w:p>
    <w:p w14:paraId="5C52E4E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d) As afirmativas I, II e III estão corretas. </w:t>
      </w:r>
    </w:p>
    <w:p w14:paraId="69F2D4D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16 A assistência de enfermagem ao pré-natal, ao parto e ao puerpério deve promover uma boa condição de saúde tanto para a mulher quanto para o feto/recém-nascido e possibilitar uma experiência de vida gratificante no período. Desse modo é de suma importância a ampliação conhecimento técnico específico e a individualização do cuidado para cada mulher. </w:t>
      </w:r>
    </w:p>
    <w:p w14:paraId="23DCC1AF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Analise as alternativas a seguir e assinale a correta. </w:t>
      </w:r>
    </w:p>
    <w:p w14:paraId="66FF0E2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Na Primeira Consulta de Enfermagem a gestante e ao seu critério, também seu companheiro, receberão as orientações sobre o acompanhamento pré-natal. Nesse contato, o médico deve ser acionado para a solicitação de exames laboratoriais. </w:t>
      </w:r>
    </w:p>
    <w:p w14:paraId="61CF7F48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O enfermeiro deve preencher o cartão da gestante, devidamente identificado, incluindo o nome da unidade hospitalar de referência para ela e o número do telefone, recomendar as vacinas e ácido fólico; e restringir as atividades físicas na gravidez. </w:t>
      </w:r>
    </w:p>
    <w:p w14:paraId="7052CA11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O enfermeiro obstetra deve realizar a identificação das distocias obstétricas e tomada de providências necessárias, até a chegada do médico, devendo intervir, em conformidade com sua capacitação técnico científica, adotando os procedimentos que visem garantir a segurança da mãe e do recém-nascido. </w:t>
      </w:r>
    </w:p>
    <w:p w14:paraId="331ED102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lastRenderedPageBreak/>
        <w:t xml:space="preserve">d) A partir da 37ª semana ou em situações de risco, deve-se intensificar o controle da vitalidade fetal com avaliação </w:t>
      </w:r>
      <w:proofErr w:type="spellStart"/>
      <w:r w:rsidRPr="00CD1166">
        <w:rPr>
          <w:rFonts w:ascii="Times New Roman" w:hAnsi="Times New Roman" w:cs="Times New Roman"/>
          <w:sz w:val="24"/>
          <w:szCs w:val="24"/>
        </w:rPr>
        <w:t>cardiotocogrfica</w:t>
      </w:r>
      <w:proofErr w:type="spellEnd"/>
      <w:r w:rsidRPr="00CD1166">
        <w:rPr>
          <w:rFonts w:ascii="Times New Roman" w:hAnsi="Times New Roman" w:cs="Times New Roman"/>
          <w:sz w:val="24"/>
          <w:szCs w:val="24"/>
        </w:rPr>
        <w:t xml:space="preserve"> em serviços de referência e o registro diário dos movimentos fetais pela gestante. </w:t>
      </w:r>
    </w:p>
    <w:p w14:paraId="32AB0EC4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17 O Programa de Humanização do Pré-Natal e do Nascimento (PHPN) estabelece os princípios da atenção a ser prestada nos diferentes níveis de atenção à saúde pública e garante à mulher o direito de dar à luz recebendo uma assistência humanizada e de boa qualidade. A esse respeito, assinale a alternativa incorreta. </w:t>
      </w:r>
    </w:p>
    <w:p w14:paraId="676245E6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Os cuidados imediatos ao nascimento do recém-nascido de baixo risco incluem a estimulação do choro, para que sejam permeabilizadas as vias aéreas e a secção imediata do cordão umbilical, garantindo a estabilização e a adaptação no ambiente extra uterino. </w:t>
      </w:r>
    </w:p>
    <w:p w14:paraId="40207A72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O contato físico precoce entre mãe e filho tem importância prioritária na sala de parto. É recomendado evitar separações desnecessárias entre o binômio, reduzindo procedimentos realizados no pós-parto imediato, quando se tratar de um bebê de baixo risco. </w:t>
      </w:r>
    </w:p>
    <w:p w14:paraId="390644DA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Em relação à manutenção da temperatura corpórea no modelo humanista prioriza-se o aquecimento do RN, no contato pele a pele com a mãe em um quarto aquecido e, se necessário, cobri-lo com um cobertor. </w:t>
      </w:r>
    </w:p>
    <w:p w14:paraId="408C2614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d) O contato visual entre a mãe e o recém-nascido, é suma importância no estabelecimento do vínculo materno-infantil, o primeiro objeto atraente que surge no campo visual do RN é o rosto da mãe. </w:t>
      </w:r>
    </w:p>
    <w:p w14:paraId="4929539A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18 De acordo com o Código de Ética dos Profissionais de Enfermagem, o enfermeiro tem o dever de: </w:t>
      </w:r>
    </w:p>
    <w:p w14:paraId="51791D7A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participar da prática multiprofissional, interdisciplinar e transdisciplinar com responsabilidade, autonomia e liberdade, observando os preceitos éticos e legais da profissão. </w:t>
      </w:r>
    </w:p>
    <w:p w14:paraId="2E6CA5B1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associar-se, exercer cargos e participar de Organizações da Categoria. </w:t>
      </w:r>
    </w:p>
    <w:p w14:paraId="191D3F03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aprimorar seus conhecimentos técnico científicos, ético-políticos, socioeducativos, históricos e culturais que dão sustentação à prática profissional. </w:t>
      </w:r>
    </w:p>
    <w:p w14:paraId="1207030D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>d) esclarecer à pessoa, família e coletividade a respeito dos direitos, riscos, benefícios e intercorrências acerca da assistência de Enfermagem.</w:t>
      </w:r>
    </w:p>
    <w:p w14:paraId="2DAC203C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lastRenderedPageBreak/>
        <w:t xml:space="preserve">19 O enfermeiro do Programa de Atendimento e Internação Domiciliares realizou visita domiciliar programada para M.T., 62 anos, sexo masculino, tabagista, portador de diabetes melito tipo 2 há 14 anos. Após realizar a anamnese e o exame físico do paciente, utilizando a taxonomia NANDA 2015-2017, estabeleceu, entre outros itens, o seguinte diagnóstico de enfermagem: “Perfusão tissular periférica ineficaz relacionada à diabetes melito, conhecimento deficiente do processo da </w:t>
      </w:r>
      <w:proofErr w:type="gramStart"/>
      <w:r w:rsidRPr="00CD1166">
        <w:rPr>
          <w:rFonts w:ascii="Times New Roman" w:hAnsi="Times New Roman" w:cs="Times New Roman"/>
          <w:sz w:val="24"/>
          <w:szCs w:val="24"/>
        </w:rPr>
        <w:t>doença e tabagismo evidenciada</w:t>
      </w:r>
      <w:proofErr w:type="gramEnd"/>
      <w:r w:rsidRPr="00CD1166">
        <w:rPr>
          <w:rFonts w:ascii="Times New Roman" w:hAnsi="Times New Roman" w:cs="Times New Roman"/>
          <w:sz w:val="24"/>
          <w:szCs w:val="24"/>
        </w:rPr>
        <w:t xml:space="preserve"> por claudicação intermitente, pulso periférico diminuído e cor e sensibilidade da pele alteradas”. Esse diagnóstico tem como característica(s) definidora(s): </w:t>
      </w:r>
    </w:p>
    <w:p w14:paraId="3F5D71C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perfusão tissular periférica ineficaz. </w:t>
      </w:r>
    </w:p>
    <w:p w14:paraId="7EE343F8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diabetes melito tipo 2. </w:t>
      </w:r>
    </w:p>
    <w:p w14:paraId="6FB38F61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perfusão tissular periférica ineficaz, diabete melito e conhecimento deficiente do processo da doença. </w:t>
      </w:r>
    </w:p>
    <w:p w14:paraId="56907A0B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>d) claudicação intermitente, pulso periférico diminuído e cor e sensibilidade da pele alteradas.</w:t>
      </w:r>
    </w:p>
    <w:p w14:paraId="3DAA51F7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20 Considere os aspectos aos quais o enfermeiro deve estar atento ao prestar assistência de enfermagem a um paciente/cliente em uso de antidepressivos e assinale a alternativa correta. </w:t>
      </w:r>
    </w:p>
    <w:p w14:paraId="4A17555C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a) Os antidepressivos tricíclicos (ADT) estimulam a recaptação de neurotransmissores, principalmente noradrenalina e serotonina, e, em menor proporção, dopamina, e os efeitos clínicos do tratamento já podem ser observados 24 horas após iniciado o tratamento. </w:t>
      </w:r>
    </w:p>
    <w:p w14:paraId="7C328216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b) Para reduzir o risco de crise hipertensiva, durante o tratamento com inibidores da </w:t>
      </w:r>
      <w:proofErr w:type="spellStart"/>
      <w:r w:rsidRPr="00CD1166">
        <w:rPr>
          <w:rFonts w:ascii="Times New Roman" w:hAnsi="Times New Roman" w:cs="Times New Roman"/>
          <w:sz w:val="24"/>
          <w:szCs w:val="24"/>
        </w:rPr>
        <w:t>monoaminooxidase</w:t>
      </w:r>
      <w:proofErr w:type="spellEnd"/>
      <w:r w:rsidRPr="00CD1166">
        <w:rPr>
          <w:rFonts w:ascii="Times New Roman" w:hAnsi="Times New Roman" w:cs="Times New Roman"/>
          <w:sz w:val="24"/>
          <w:szCs w:val="24"/>
        </w:rPr>
        <w:t xml:space="preserve"> (IMAO), está contraindicado o uso de descongestionantes nasais e broncodilatadores. </w:t>
      </w:r>
    </w:p>
    <w:p w14:paraId="38B573C3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c) Pacientes/clientes em tratamento com os inibidores seletivos da recaptação da serotonina (ISRS) devem ingerir dieta pobre em tiramina, evitando alimentos tais como: frios embutidos ou defumados, fígado, cerveja e queijos maturados ou envelhecidos. </w:t>
      </w:r>
    </w:p>
    <w:p w14:paraId="2426DDBA" w14:textId="77777777" w:rsidR="00CD1166" w:rsidRPr="00CD1166" w:rsidRDefault="00CD1166" w:rsidP="00CD11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166">
        <w:rPr>
          <w:rFonts w:ascii="Times New Roman" w:hAnsi="Times New Roman" w:cs="Times New Roman"/>
          <w:sz w:val="24"/>
          <w:szCs w:val="24"/>
        </w:rPr>
        <w:t xml:space="preserve">d) Os antidepressivos tricíclicos (ADT) inibem os efeitos dos anticoagulantes orais e anticonvulsivantes. </w:t>
      </w:r>
    </w:p>
    <w:p w14:paraId="4F3C1C3B" w14:textId="77777777" w:rsidR="004A693A" w:rsidRDefault="004A693A" w:rsidP="00CE2B4E"/>
    <w:p w14:paraId="2548944B" w14:textId="77777777" w:rsidR="004A693A" w:rsidRDefault="004A693A" w:rsidP="00CE2B4E"/>
    <w:tbl>
      <w:tblPr>
        <w:tblStyle w:val="TableNormal"/>
        <w:tblpPr w:leftFromText="141" w:rightFromText="141" w:vertAnchor="text" w:horzAnchor="margin" w:tblpXSpec="center" w:tblpY="353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4A693A" w14:paraId="0A0684F1" w14:textId="77777777" w:rsidTr="00DA3C4D">
        <w:trPr>
          <w:trHeight w:val="552"/>
        </w:trPr>
        <w:tc>
          <w:tcPr>
            <w:tcW w:w="10420" w:type="dxa"/>
          </w:tcPr>
          <w:p w14:paraId="30F033F8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lastRenderedPageBreak/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6D9FE45" w14:textId="77777777" w:rsidTr="00DA3C4D">
        <w:trPr>
          <w:trHeight w:val="318"/>
        </w:trPr>
        <w:tc>
          <w:tcPr>
            <w:tcW w:w="10420" w:type="dxa"/>
          </w:tcPr>
          <w:p w14:paraId="3726CED8" w14:textId="2AAA4C84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71"/>
                <w:sz w:val="24"/>
              </w:rPr>
              <w:t xml:space="preserve"> </w:t>
            </w:r>
            <w:r w:rsidR="00CD1166">
              <w:rPr>
                <w:rFonts w:ascii="Tahoma"/>
                <w:b/>
                <w:w w:val="85"/>
                <w:sz w:val="24"/>
              </w:rPr>
              <w:t>ENFERMEIRO (A)</w:t>
            </w:r>
          </w:p>
        </w:tc>
      </w:tr>
      <w:tr w:rsidR="004A693A" w14:paraId="1CAE974D" w14:textId="77777777" w:rsidTr="00DA3C4D">
        <w:trPr>
          <w:trHeight w:val="498"/>
        </w:trPr>
        <w:tc>
          <w:tcPr>
            <w:tcW w:w="10420" w:type="dxa"/>
          </w:tcPr>
          <w:p w14:paraId="53FC9A0C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</w:tr>
    </w:tbl>
    <w:p w14:paraId="70EF2FC0" w14:textId="77777777" w:rsidR="004A693A" w:rsidRDefault="004A693A" w:rsidP="004A693A">
      <w:pPr>
        <w:pStyle w:val="Corpodetexto"/>
        <w:ind w:left="0"/>
        <w:rPr>
          <w:sz w:val="20"/>
        </w:rPr>
      </w:pPr>
    </w:p>
    <w:p w14:paraId="2307BD3B" w14:textId="77777777" w:rsidR="004A693A" w:rsidRDefault="004A693A" w:rsidP="004A693A">
      <w:pPr>
        <w:pStyle w:val="Corpodetexto"/>
        <w:spacing w:before="8"/>
        <w:ind w:left="0"/>
        <w:rPr>
          <w:sz w:val="27"/>
        </w:rPr>
      </w:pPr>
    </w:p>
    <w:p w14:paraId="7AF34A3C" w14:textId="77777777" w:rsidR="004A693A" w:rsidRDefault="004A693A" w:rsidP="004A693A">
      <w:pPr>
        <w:spacing w:before="85"/>
        <w:ind w:left="2488" w:right="24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GABARITO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OFICIAL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PROVA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OBJETIVA</w:t>
      </w:r>
      <w:r>
        <w:rPr>
          <w:rFonts w:ascii="Tahoma" w:hAnsi="Tahoma"/>
          <w:b/>
          <w:spacing w:val="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(NÃO</w:t>
      </w:r>
      <w:r>
        <w:rPr>
          <w:rFonts w:ascii="Tahoma" w:hAnsi="Tahoma"/>
          <w:b/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RASURAR)</w:t>
      </w:r>
    </w:p>
    <w:p w14:paraId="6273DCC7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11E9973C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60"/>
      </w:tblGrid>
      <w:tr w:rsidR="004A693A" w14:paraId="030A01D6" w14:textId="77777777" w:rsidTr="00DA3C4D">
        <w:trPr>
          <w:trHeight w:val="292"/>
        </w:trPr>
        <w:tc>
          <w:tcPr>
            <w:tcW w:w="1555" w:type="dxa"/>
          </w:tcPr>
          <w:p w14:paraId="495BA393" w14:textId="77777777" w:rsidR="004A693A" w:rsidRDefault="004A693A" w:rsidP="00DA3C4D">
            <w:pPr>
              <w:pStyle w:val="TableParagraph"/>
              <w:spacing w:line="272" w:lineRule="exact"/>
              <w:ind w:left="231" w:right="224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ǪUESTÃO</w:t>
            </w:r>
          </w:p>
        </w:tc>
        <w:tc>
          <w:tcPr>
            <w:tcW w:w="1560" w:type="dxa"/>
          </w:tcPr>
          <w:p w14:paraId="5B9F22E1" w14:textId="77777777" w:rsidR="004A693A" w:rsidRDefault="004A693A" w:rsidP="00DA3C4D">
            <w:pPr>
              <w:pStyle w:val="TableParagraph"/>
              <w:spacing w:line="272" w:lineRule="exact"/>
              <w:ind w:left="2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GABARITO</w:t>
            </w:r>
          </w:p>
        </w:tc>
      </w:tr>
      <w:tr w:rsidR="004A693A" w14:paraId="13EF98B8" w14:textId="77777777" w:rsidTr="00DA3C4D">
        <w:trPr>
          <w:trHeight w:val="292"/>
        </w:trPr>
        <w:tc>
          <w:tcPr>
            <w:tcW w:w="1555" w:type="dxa"/>
          </w:tcPr>
          <w:p w14:paraId="31F5180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1</w:t>
            </w:r>
          </w:p>
        </w:tc>
        <w:tc>
          <w:tcPr>
            <w:tcW w:w="1560" w:type="dxa"/>
          </w:tcPr>
          <w:p w14:paraId="22A7A19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AAE65D3" w14:textId="77777777" w:rsidTr="00DA3C4D">
        <w:trPr>
          <w:trHeight w:val="292"/>
        </w:trPr>
        <w:tc>
          <w:tcPr>
            <w:tcW w:w="1555" w:type="dxa"/>
          </w:tcPr>
          <w:p w14:paraId="69C2836A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2</w:t>
            </w:r>
          </w:p>
        </w:tc>
        <w:tc>
          <w:tcPr>
            <w:tcW w:w="1560" w:type="dxa"/>
          </w:tcPr>
          <w:p w14:paraId="663858AA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414E490" w14:textId="77777777" w:rsidTr="00DA3C4D">
        <w:trPr>
          <w:trHeight w:val="294"/>
        </w:trPr>
        <w:tc>
          <w:tcPr>
            <w:tcW w:w="1555" w:type="dxa"/>
          </w:tcPr>
          <w:p w14:paraId="2F8510FE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3</w:t>
            </w:r>
          </w:p>
        </w:tc>
        <w:tc>
          <w:tcPr>
            <w:tcW w:w="1560" w:type="dxa"/>
          </w:tcPr>
          <w:p w14:paraId="1EE9A2BD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5D20703F" w14:textId="77777777" w:rsidTr="00DA3C4D">
        <w:trPr>
          <w:trHeight w:val="292"/>
        </w:trPr>
        <w:tc>
          <w:tcPr>
            <w:tcW w:w="1555" w:type="dxa"/>
          </w:tcPr>
          <w:p w14:paraId="309108C2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4</w:t>
            </w:r>
          </w:p>
        </w:tc>
        <w:tc>
          <w:tcPr>
            <w:tcW w:w="1560" w:type="dxa"/>
          </w:tcPr>
          <w:p w14:paraId="4709C6E7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BF0A4C7" w14:textId="77777777" w:rsidTr="00DA3C4D">
        <w:trPr>
          <w:trHeight w:val="292"/>
        </w:trPr>
        <w:tc>
          <w:tcPr>
            <w:tcW w:w="1555" w:type="dxa"/>
          </w:tcPr>
          <w:p w14:paraId="407F030B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5</w:t>
            </w:r>
          </w:p>
        </w:tc>
        <w:tc>
          <w:tcPr>
            <w:tcW w:w="1560" w:type="dxa"/>
          </w:tcPr>
          <w:p w14:paraId="63A494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BCDADD0" w14:textId="77777777" w:rsidTr="00DA3C4D">
        <w:trPr>
          <w:trHeight w:val="292"/>
        </w:trPr>
        <w:tc>
          <w:tcPr>
            <w:tcW w:w="1555" w:type="dxa"/>
          </w:tcPr>
          <w:p w14:paraId="19EE37BE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6</w:t>
            </w:r>
          </w:p>
        </w:tc>
        <w:tc>
          <w:tcPr>
            <w:tcW w:w="1560" w:type="dxa"/>
          </w:tcPr>
          <w:p w14:paraId="62DD388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62650708" w14:textId="77777777" w:rsidTr="00DA3C4D">
        <w:trPr>
          <w:trHeight w:val="292"/>
        </w:trPr>
        <w:tc>
          <w:tcPr>
            <w:tcW w:w="1555" w:type="dxa"/>
          </w:tcPr>
          <w:p w14:paraId="7C91F58D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7</w:t>
            </w:r>
          </w:p>
        </w:tc>
        <w:tc>
          <w:tcPr>
            <w:tcW w:w="1560" w:type="dxa"/>
          </w:tcPr>
          <w:p w14:paraId="06861F2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77790A8" w14:textId="77777777" w:rsidTr="00DA3C4D">
        <w:trPr>
          <w:trHeight w:val="294"/>
        </w:trPr>
        <w:tc>
          <w:tcPr>
            <w:tcW w:w="1555" w:type="dxa"/>
          </w:tcPr>
          <w:p w14:paraId="58CBBA23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8</w:t>
            </w:r>
          </w:p>
        </w:tc>
        <w:tc>
          <w:tcPr>
            <w:tcW w:w="1560" w:type="dxa"/>
          </w:tcPr>
          <w:p w14:paraId="1AB0B0B3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0773AAE4" w14:textId="77777777" w:rsidTr="00DA3C4D">
        <w:trPr>
          <w:trHeight w:val="292"/>
        </w:trPr>
        <w:tc>
          <w:tcPr>
            <w:tcW w:w="1555" w:type="dxa"/>
          </w:tcPr>
          <w:p w14:paraId="10F5376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9</w:t>
            </w:r>
          </w:p>
        </w:tc>
        <w:tc>
          <w:tcPr>
            <w:tcW w:w="1560" w:type="dxa"/>
          </w:tcPr>
          <w:p w14:paraId="2A5B310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F1560D3" w14:textId="77777777" w:rsidTr="00DA3C4D">
        <w:trPr>
          <w:trHeight w:val="292"/>
        </w:trPr>
        <w:tc>
          <w:tcPr>
            <w:tcW w:w="1555" w:type="dxa"/>
          </w:tcPr>
          <w:p w14:paraId="7B6F90CA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</w:t>
            </w:r>
          </w:p>
        </w:tc>
        <w:tc>
          <w:tcPr>
            <w:tcW w:w="1560" w:type="dxa"/>
          </w:tcPr>
          <w:p w14:paraId="02129CC8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C7F5415" w14:textId="77777777" w:rsidTr="00DA3C4D">
        <w:trPr>
          <w:trHeight w:val="292"/>
        </w:trPr>
        <w:tc>
          <w:tcPr>
            <w:tcW w:w="1555" w:type="dxa"/>
          </w:tcPr>
          <w:p w14:paraId="12305307" w14:textId="77777777" w:rsidR="004A693A" w:rsidRDefault="004A693A" w:rsidP="00DA3C4D">
            <w:pPr>
              <w:pStyle w:val="TableParagraph"/>
              <w:spacing w:line="273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</w:t>
            </w:r>
          </w:p>
        </w:tc>
        <w:tc>
          <w:tcPr>
            <w:tcW w:w="1560" w:type="dxa"/>
          </w:tcPr>
          <w:p w14:paraId="62EDEB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26779BC4" w14:textId="77777777" w:rsidTr="00DA3C4D">
        <w:trPr>
          <w:trHeight w:val="294"/>
        </w:trPr>
        <w:tc>
          <w:tcPr>
            <w:tcW w:w="1555" w:type="dxa"/>
          </w:tcPr>
          <w:p w14:paraId="1BC983B2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</w:t>
            </w:r>
          </w:p>
        </w:tc>
        <w:tc>
          <w:tcPr>
            <w:tcW w:w="1560" w:type="dxa"/>
          </w:tcPr>
          <w:p w14:paraId="1CCE03E1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403993D1" w14:textId="77777777" w:rsidTr="00DA3C4D">
        <w:trPr>
          <w:trHeight w:val="292"/>
        </w:trPr>
        <w:tc>
          <w:tcPr>
            <w:tcW w:w="1555" w:type="dxa"/>
          </w:tcPr>
          <w:p w14:paraId="559F7D8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13</w:t>
            </w:r>
          </w:p>
        </w:tc>
        <w:tc>
          <w:tcPr>
            <w:tcW w:w="1560" w:type="dxa"/>
          </w:tcPr>
          <w:p w14:paraId="62A071C6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482645C" w14:textId="77777777" w:rsidTr="00DA3C4D">
        <w:trPr>
          <w:trHeight w:val="292"/>
        </w:trPr>
        <w:tc>
          <w:tcPr>
            <w:tcW w:w="1555" w:type="dxa"/>
          </w:tcPr>
          <w:p w14:paraId="7BE89F6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14</w:t>
            </w:r>
          </w:p>
        </w:tc>
        <w:tc>
          <w:tcPr>
            <w:tcW w:w="1560" w:type="dxa"/>
          </w:tcPr>
          <w:p w14:paraId="26390505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37FFF97" w14:textId="77777777" w:rsidTr="00DA3C4D">
        <w:trPr>
          <w:trHeight w:val="292"/>
        </w:trPr>
        <w:tc>
          <w:tcPr>
            <w:tcW w:w="1555" w:type="dxa"/>
          </w:tcPr>
          <w:p w14:paraId="49510B91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  <w:tc>
          <w:tcPr>
            <w:tcW w:w="1560" w:type="dxa"/>
          </w:tcPr>
          <w:p w14:paraId="4535941D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6F2946A" w14:textId="77777777" w:rsidTr="00DA3C4D">
        <w:trPr>
          <w:trHeight w:val="294"/>
        </w:trPr>
        <w:tc>
          <w:tcPr>
            <w:tcW w:w="1555" w:type="dxa"/>
          </w:tcPr>
          <w:p w14:paraId="507D22A4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16</w:t>
            </w:r>
          </w:p>
        </w:tc>
        <w:tc>
          <w:tcPr>
            <w:tcW w:w="1560" w:type="dxa"/>
          </w:tcPr>
          <w:p w14:paraId="6BA6BECC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3CA1B461" w14:textId="77777777" w:rsidTr="00DA3C4D">
        <w:trPr>
          <w:trHeight w:val="292"/>
        </w:trPr>
        <w:tc>
          <w:tcPr>
            <w:tcW w:w="1555" w:type="dxa"/>
          </w:tcPr>
          <w:p w14:paraId="53348D89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17</w:t>
            </w:r>
          </w:p>
        </w:tc>
        <w:tc>
          <w:tcPr>
            <w:tcW w:w="1560" w:type="dxa"/>
          </w:tcPr>
          <w:p w14:paraId="2226915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5A4FA4E" w14:textId="77777777" w:rsidTr="00DA3C4D">
        <w:trPr>
          <w:trHeight w:val="292"/>
        </w:trPr>
        <w:tc>
          <w:tcPr>
            <w:tcW w:w="1555" w:type="dxa"/>
          </w:tcPr>
          <w:p w14:paraId="2291D2EB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18</w:t>
            </w:r>
          </w:p>
        </w:tc>
        <w:tc>
          <w:tcPr>
            <w:tcW w:w="1560" w:type="dxa"/>
          </w:tcPr>
          <w:p w14:paraId="4F55478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F393DCF" w14:textId="77777777" w:rsidTr="00DA3C4D">
        <w:trPr>
          <w:trHeight w:val="292"/>
        </w:trPr>
        <w:tc>
          <w:tcPr>
            <w:tcW w:w="1555" w:type="dxa"/>
          </w:tcPr>
          <w:p w14:paraId="75233F06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19</w:t>
            </w:r>
          </w:p>
        </w:tc>
        <w:tc>
          <w:tcPr>
            <w:tcW w:w="1560" w:type="dxa"/>
          </w:tcPr>
          <w:p w14:paraId="6435CE5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A47FC43" w14:textId="77777777" w:rsidTr="00DA3C4D">
        <w:trPr>
          <w:trHeight w:val="294"/>
        </w:trPr>
        <w:tc>
          <w:tcPr>
            <w:tcW w:w="1555" w:type="dxa"/>
          </w:tcPr>
          <w:p w14:paraId="52053179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  <w:tc>
          <w:tcPr>
            <w:tcW w:w="1560" w:type="dxa"/>
          </w:tcPr>
          <w:p w14:paraId="2C47D1CA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</w:tbl>
    <w:p w14:paraId="16A573EE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645D1FEA" w14:textId="77777777" w:rsidR="004A693A" w:rsidRDefault="004A693A" w:rsidP="004A693A">
      <w:pPr>
        <w:pStyle w:val="Corpodetexto"/>
        <w:spacing w:before="7" w:after="1"/>
        <w:ind w:left="0"/>
        <w:rPr>
          <w:rFonts w:ascii="Tahoma"/>
          <w:b/>
          <w:sz w:val="26"/>
        </w:rPr>
      </w:pPr>
    </w:p>
    <w:p w14:paraId="639E4586" w14:textId="77777777" w:rsidR="004A693A" w:rsidRPr="00B12AAD" w:rsidRDefault="004A693A" w:rsidP="004A6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DE06A3" w14:textId="77777777" w:rsidR="004A693A" w:rsidRPr="00673677" w:rsidRDefault="004A693A" w:rsidP="004A693A"/>
    <w:p w14:paraId="65B176B3" w14:textId="77777777" w:rsidR="004A693A" w:rsidRPr="00673677" w:rsidRDefault="004A693A" w:rsidP="004A693A"/>
    <w:p w14:paraId="00E39373" w14:textId="77777777" w:rsidR="004A693A" w:rsidRDefault="004A693A" w:rsidP="00CE2B4E"/>
    <w:sectPr w:rsidR="004A69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8F18E" w14:textId="77777777" w:rsidR="00F90062" w:rsidRDefault="00F90062" w:rsidP="0072441E">
      <w:pPr>
        <w:spacing w:after="0" w:line="240" w:lineRule="auto"/>
      </w:pPr>
      <w:r>
        <w:separator/>
      </w:r>
    </w:p>
  </w:endnote>
  <w:endnote w:type="continuationSeparator" w:id="0">
    <w:p w14:paraId="68D3AC03" w14:textId="77777777" w:rsidR="00F90062" w:rsidRDefault="00F90062" w:rsidP="0072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AB971" w14:textId="77777777" w:rsidR="00F90062" w:rsidRDefault="00F90062" w:rsidP="0072441E">
      <w:pPr>
        <w:spacing w:after="0" w:line="240" w:lineRule="auto"/>
      </w:pPr>
      <w:r>
        <w:separator/>
      </w:r>
    </w:p>
  </w:footnote>
  <w:footnote w:type="continuationSeparator" w:id="0">
    <w:p w14:paraId="59F1A62D" w14:textId="77777777" w:rsidR="00F90062" w:rsidRDefault="00F90062" w:rsidP="0072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2687" w14:textId="0B9438E4" w:rsidR="0072441E" w:rsidRDefault="0072441E">
    <w:pPr>
      <w:pStyle w:val="Cabealho"/>
    </w:pPr>
    <w:r w:rsidRPr="0072441E">
      <w:rPr>
        <w:noProof/>
      </w:rPr>
      <w:drawing>
        <wp:anchor distT="0" distB="0" distL="114300" distR="114300" simplePos="0" relativeHeight="251659264" behindDoc="1" locked="0" layoutInCell="1" allowOverlap="1" wp14:anchorId="7C53D850" wp14:editId="2DCBE034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504467" cy="1200150"/>
          <wp:effectExtent l="0" t="0" r="1270" b="0"/>
          <wp:wrapNone/>
          <wp:docPr id="17589155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467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3F5E7D" wp14:editId="50574883">
          <wp:simplePos x="0" y="0"/>
          <wp:positionH relativeFrom="margin">
            <wp:posOffset>-3399790</wp:posOffset>
          </wp:positionH>
          <wp:positionV relativeFrom="paragraph">
            <wp:posOffset>3912870</wp:posOffset>
          </wp:positionV>
          <wp:extent cx="9381328" cy="6239510"/>
          <wp:effectExtent l="0" t="0" r="0" b="8890"/>
          <wp:wrapNone/>
          <wp:docPr id="13804573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4573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1328" cy="623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A11"/>
    <w:multiLevelType w:val="hybridMultilevel"/>
    <w:tmpl w:val="1B200570"/>
    <w:lvl w:ilvl="0" w:tplc="D2FEF9E0">
      <w:numFmt w:val="bullet"/>
      <w:lvlText w:val=""/>
      <w:lvlJc w:val="left"/>
      <w:pPr>
        <w:ind w:left="69" w:hanging="252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C8F88122">
      <w:numFmt w:val="bullet"/>
      <w:lvlText w:val="•"/>
      <w:lvlJc w:val="left"/>
      <w:pPr>
        <w:ind w:left="1095" w:hanging="252"/>
      </w:pPr>
      <w:rPr>
        <w:rFonts w:hint="default"/>
        <w:lang w:val="pt-PT" w:eastAsia="en-US" w:bidi="ar-SA"/>
      </w:rPr>
    </w:lvl>
    <w:lvl w:ilvl="2" w:tplc="73E0E108">
      <w:numFmt w:val="bullet"/>
      <w:lvlText w:val="•"/>
      <w:lvlJc w:val="left"/>
      <w:pPr>
        <w:ind w:left="2130" w:hanging="252"/>
      </w:pPr>
      <w:rPr>
        <w:rFonts w:hint="default"/>
        <w:lang w:val="pt-PT" w:eastAsia="en-US" w:bidi="ar-SA"/>
      </w:rPr>
    </w:lvl>
    <w:lvl w:ilvl="3" w:tplc="6B5E61B8">
      <w:numFmt w:val="bullet"/>
      <w:lvlText w:val="•"/>
      <w:lvlJc w:val="left"/>
      <w:pPr>
        <w:ind w:left="3165" w:hanging="252"/>
      </w:pPr>
      <w:rPr>
        <w:rFonts w:hint="default"/>
        <w:lang w:val="pt-PT" w:eastAsia="en-US" w:bidi="ar-SA"/>
      </w:rPr>
    </w:lvl>
    <w:lvl w:ilvl="4" w:tplc="4928DD08">
      <w:numFmt w:val="bullet"/>
      <w:lvlText w:val="•"/>
      <w:lvlJc w:val="left"/>
      <w:pPr>
        <w:ind w:left="4200" w:hanging="252"/>
      </w:pPr>
      <w:rPr>
        <w:rFonts w:hint="default"/>
        <w:lang w:val="pt-PT" w:eastAsia="en-US" w:bidi="ar-SA"/>
      </w:rPr>
    </w:lvl>
    <w:lvl w:ilvl="5" w:tplc="34B6A828">
      <w:numFmt w:val="bullet"/>
      <w:lvlText w:val="•"/>
      <w:lvlJc w:val="left"/>
      <w:pPr>
        <w:ind w:left="5235" w:hanging="252"/>
      </w:pPr>
      <w:rPr>
        <w:rFonts w:hint="default"/>
        <w:lang w:val="pt-PT" w:eastAsia="en-US" w:bidi="ar-SA"/>
      </w:rPr>
    </w:lvl>
    <w:lvl w:ilvl="6" w:tplc="AD3C88C8">
      <w:numFmt w:val="bullet"/>
      <w:lvlText w:val="•"/>
      <w:lvlJc w:val="left"/>
      <w:pPr>
        <w:ind w:left="6270" w:hanging="252"/>
      </w:pPr>
      <w:rPr>
        <w:rFonts w:hint="default"/>
        <w:lang w:val="pt-PT" w:eastAsia="en-US" w:bidi="ar-SA"/>
      </w:rPr>
    </w:lvl>
    <w:lvl w:ilvl="7" w:tplc="F15043F6">
      <w:numFmt w:val="bullet"/>
      <w:lvlText w:val="•"/>
      <w:lvlJc w:val="left"/>
      <w:pPr>
        <w:ind w:left="7305" w:hanging="252"/>
      </w:pPr>
      <w:rPr>
        <w:rFonts w:hint="default"/>
        <w:lang w:val="pt-PT" w:eastAsia="en-US" w:bidi="ar-SA"/>
      </w:rPr>
    </w:lvl>
    <w:lvl w:ilvl="8" w:tplc="91B09E50">
      <w:numFmt w:val="bullet"/>
      <w:lvlText w:val="•"/>
      <w:lvlJc w:val="left"/>
      <w:pPr>
        <w:ind w:left="8340" w:hanging="2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57263"/>
    <w:multiLevelType w:val="hybridMultilevel"/>
    <w:tmpl w:val="04940B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367DC"/>
    <w:multiLevelType w:val="hybridMultilevel"/>
    <w:tmpl w:val="E5B05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4419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55125168">
    <w:abstractNumId w:val="1"/>
  </w:num>
  <w:num w:numId="3" w16cid:durableId="110468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04"/>
    <w:rsid w:val="001C3627"/>
    <w:rsid w:val="004A693A"/>
    <w:rsid w:val="004B284A"/>
    <w:rsid w:val="005C7D04"/>
    <w:rsid w:val="0072441E"/>
    <w:rsid w:val="007860E3"/>
    <w:rsid w:val="007C60C8"/>
    <w:rsid w:val="008F6B9A"/>
    <w:rsid w:val="00925AB1"/>
    <w:rsid w:val="00B726F2"/>
    <w:rsid w:val="00C12D7B"/>
    <w:rsid w:val="00CD1166"/>
    <w:rsid w:val="00CE2B4E"/>
    <w:rsid w:val="00F90062"/>
    <w:rsid w:val="00FD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E5A8"/>
  <w15:chartTrackingRefBased/>
  <w15:docId w15:val="{C012EA06-35A6-4BE5-9619-300B76D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41E"/>
  </w:style>
  <w:style w:type="paragraph" w:styleId="Rodap">
    <w:name w:val="footer"/>
    <w:basedOn w:val="Normal"/>
    <w:link w:val="Rodap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41E"/>
  </w:style>
  <w:style w:type="paragraph" w:styleId="Ttulo">
    <w:name w:val="Title"/>
    <w:basedOn w:val="Normal"/>
    <w:link w:val="TtuloChar"/>
    <w:uiPriority w:val="10"/>
    <w:qFormat/>
    <w:rsid w:val="004B284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4B284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A693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693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4A693A"/>
    <w:pPr>
      <w:widowControl w:val="0"/>
      <w:autoSpaceDE w:val="0"/>
      <w:autoSpaceDN w:val="0"/>
      <w:spacing w:after="0" w:line="240" w:lineRule="auto"/>
      <w:ind w:left="1382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A693A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2971</Words>
  <Characters>16047</Characters>
  <Application>Microsoft Office Word</Application>
  <DocSecurity>0</DocSecurity>
  <Lines>133</Lines>
  <Paragraphs>37</Paragraphs>
  <ScaleCrop>false</ScaleCrop>
  <Company/>
  <LinksUpToDate>false</LinksUpToDate>
  <CharactersWithSpaces>18981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 Castro</dc:creator>
  <cp:keywords/>
  <dc:description/>
  <cp:lastModifiedBy>intituto sao vicente</cp:lastModifiedBy>
  <cp:revision>2</cp:revision>
  <dcterms:created xsi:type="dcterms:W3CDTF">2024-12-17T19:23:00Z</dcterms:created>
  <dcterms:modified xsi:type="dcterms:W3CDTF">2024-12-17T19:23:00Z</dcterms:modified>
</cp:coreProperties>
</file>